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A7D9" w14:textId="19BA8637" w:rsidR="007A629B" w:rsidRPr="006A146F" w:rsidRDefault="007A629B" w:rsidP="007A629B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r w:rsidR="00814BE4" w:rsidRPr="00814BE4">
        <w:rPr>
          <w:b/>
          <w:i/>
          <w:sz w:val="32"/>
          <w:lang w:val="sv-SE" w:eastAsia="ko-KR"/>
        </w:rPr>
        <w:t>200156</w:t>
      </w:r>
      <w:r w:rsidR="00814BE4">
        <w:rPr>
          <w:b/>
          <w:i/>
          <w:sz w:val="32"/>
          <w:lang w:val="sv-SE" w:eastAsia="ko-KR"/>
        </w:rPr>
        <w:t>1</w:t>
      </w:r>
      <w:bookmarkStart w:id="0" w:name="_GoBack"/>
      <w:bookmarkEnd w:id="0"/>
    </w:p>
    <w:p w14:paraId="634EEB1D" w14:textId="587FA06F" w:rsidR="00BB7461" w:rsidRPr="00E035DC" w:rsidRDefault="007A629B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proofErr w:type="spellStart"/>
      <w:r w:rsidRPr="007A629B">
        <w:rPr>
          <w:rFonts w:eastAsiaTheme="minorEastAsia"/>
          <w:b/>
          <w:sz w:val="24"/>
          <w:lang w:eastAsia="ko-KR"/>
        </w:rPr>
        <w:t>Elbonia</w:t>
      </w:r>
      <w:proofErr w:type="spellEnd"/>
      <w:r w:rsidRPr="007A629B">
        <w:rPr>
          <w:rFonts w:eastAsiaTheme="minorEastAsia"/>
          <w:b/>
          <w:sz w:val="24"/>
          <w:lang w:eastAsia="ko-KR"/>
        </w:rPr>
        <w:t>, 24 Feb – 6 Mar 2020</w:t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 w:rsidR="006F5AB1">
        <w:rPr>
          <w:rFonts w:eastAsiaTheme="minorEastAsia"/>
          <w:b/>
          <w:sz w:val="24"/>
          <w:lang w:eastAsia="ko-KR"/>
        </w:rPr>
        <w:tab/>
      </w:r>
      <w:r>
        <w:rPr>
          <w:rFonts w:eastAsiaTheme="minorEastAsia"/>
          <w:b/>
          <w:sz w:val="24"/>
          <w:lang w:eastAsia="ko-KR"/>
        </w:rPr>
        <w:tab/>
      </w:r>
      <w:r w:rsidR="007451D5">
        <w:rPr>
          <w:rFonts w:eastAsiaTheme="minorEastAsia"/>
          <w:b/>
          <w:sz w:val="24"/>
          <w:lang w:eastAsia="ko-KR"/>
        </w:rPr>
        <w:t xml:space="preserve"> </w:t>
      </w:r>
      <w:r>
        <w:rPr>
          <w:rFonts w:eastAsiaTheme="minorEastAsia"/>
          <w:b/>
          <w:sz w:val="24"/>
          <w:lang w:eastAsia="ko-KR"/>
        </w:rPr>
        <w:t xml:space="preserve">     </w:t>
      </w:r>
    </w:p>
    <w:p w14:paraId="659EAB13" w14:textId="77777777" w:rsidR="00C860C9" w:rsidRPr="007451D5" w:rsidRDefault="00C860C9" w:rsidP="00C860C9">
      <w:pPr>
        <w:tabs>
          <w:tab w:val="left" w:pos="1985"/>
        </w:tabs>
        <w:spacing w:after="60" w:line="288" w:lineRule="auto"/>
        <w:rPr>
          <w:rFonts w:eastAsiaTheme="minorEastAsia"/>
          <w:noProof/>
          <w:sz w:val="24"/>
          <w:lang w:eastAsia="ko-KR"/>
        </w:rPr>
      </w:pPr>
    </w:p>
    <w:p w14:paraId="1315D531" w14:textId="7498C14F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FF58FD" w:rsidRPr="00FF58FD">
        <w:rPr>
          <w:rFonts w:cs="Arial"/>
          <w:noProof/>
          <w:sz w:val="24"/>
          <w:szCs w:val="24"/>
          <w:lang w:val="en-US" w:eastAsia="ko-KR"/>
        </w:rPr>
        <w:t>6.1.</w:t>
      </w:r>
      <w:r w:rsidR="00AE05AC">
        <w:rPr>
          <w:rFonts w:cs="Arial"/>
          <w:noProof/>
          <w:sz w:val="24"/>
          <w:szCs w:val="24"/>
          <w:lang w:val="en-US" w:eastAsia="ko-KR"/>
        </w:rPr>
        <w:t>4</w:t>
      </w:r>
      <w:r w:rsidR="0039676C" w:rsidRPr="0039676C">
        <w:rPr>
          <w:rFonts w:cs="Arial"/>
          <w:noProof/>
          <w:sz w:val="24"/>
          <w:szCs w:val="24"/>
          <w:lang w:val="en-US" w:eastAsia="ko-KR"/>
        </w:rPr>
        <w:t xml:space="preserve"> 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(</w:t>
      </w:r>
      <w:r w:rsidR="006F5AB1" w:rsidRPr="0039676C">
        <w:rPr>
          <w:rFonts w:cs="Arial"/>
          <w:sz w:val="24"/>
          <w:szCs w:val="24"/>
          <w:lang w:val="en-US" w:eastAsia="ko-KR"/>
        </w:rPr>
        <w:t>NR_IAB-Core</w:t>
      </w:r>
      <w:r w:rsidR="006F5AB1" w:rsidRPr="0039676C">
        <w:rPr>
          <w:rFonts w:cs="Arial"/>
          <w:noProof/>
          <w:sz w:val="24"/>
          <w:szCs w:val="24"/>
          <w:lang w:val="en-US" w:eastAsia="ko-KR"/>
        </w:rPr>
        <w:t>)</w:t>
      </w:r>
    </w:p>
    <w:p w14:paraId="47A071BF" w14:textId="76639E68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</w:t>
      </w:r>
      <w:r w:rsidR="00AD49C3">
        <w:rPr>
          <w:rFonts w:cs="Arial"/>
          <w:noProof/>
          <w:sz w:val="24"/>
          <w:szCs w:val="24"/>
          <w:lang w:val="en-US" w:eastAsia="ko-KR"/>
        </w:rPr>
        <w:t xml:space="preserve"> Inc. </w:t>
      </w:r>
    </w:p>
    <w:p w14:paraId="71388805" w14:textId="69FC15C6"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3078E9">
        <w:rPr>
          <w:rFonts w:eastAsia="맑은 고딕" w:cs="Arial"/>
          <w:noProof/>
          <w:sz w:val="24"/>
          <w:szCs w:val="24"/>
          <w:lang w:val="en-US" w:eastAsia="ko-KR"/>
        </w:rPr>
        <w:t xml:space="preserve">Ambiguity of </w:t>
      </w:r>
      <w:r w:rsidR="00AE05AC" w:rsidRPr="00AE05AC">
        <w:rPr>
          <w:rFonts w:eastAsia="맑은 고딕" w:cs="Arial"/>
          <w:noProof/>
          <w:sz w:val="24"/>
          <w:szCs w:val="24"/>
          <w:lang w:val="en-US" w:eastAsia="ko-KR"/>
        </w:rPr>
        <w:t>pre-BSR</w:t>
      </w:r>
      <w:r w:rsidR="003078E9">
        <w:rPr>
          <w:rFonts w:eastAsia="맑은 고딕" w:cs="Arial"/>
          <w:noProof/>
          <w:sz w:val="24"/>
          <w:szCs w:val="24"/>
          <w:lang w:val="en-US" w:eastAsia="ko-KR"/>
        </w:rPr>
        <w:t xml:space="preserve"> with multiple parents</w:t>
      </w:r>
    </w:p>
    <w:p w14:paraId="20C72DA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42EAFF1" w14:textId="77777777" w:rsidR="008C10C3" w:rsidRDefault="008C10C3" w:rsidP="008C10C3">
      <w:pPr>
        <w:pStyle w:val="1"/>
      </w:pPr>
      <w:r>
        <w:t>Introduction</w:t>
      </w:r>
    </w:p>
    <w:p w14:paraId="5E206F57" w14:textId="4D733604" w:rsidR="006C29AE" w:rsidRDefault="004E3AFC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>Even though RAN2 agreed the following way forward i</w:t>
      </w:r>
      <w:r w:rsidR="00AE05AC">
        <w:rPr>
          <w:rFonts w:ascii="Times New Roman" w:eastAsia="맑은 고딕" w:hAnsi="Times New Roman"/>
          <w:sz w:val="22"/>
          <w:szCs w:val="22"/>
          <w:lang w:eastAsia="ko-KR"/>
        </w:rPr>
        <w:t xml:space="preserve">n the last meeting,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there is still an ambiguous point. This contribution discusses this ambiguity of pre-BSR with multiple parents.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3AFC" w14:paraId="65E509DD" w14:textId="77777777" w:rsidTr="004E3AFC">
        <w:tc>
          <w:tcPr>
            <w:tcW w:w="9629" w:type="dxa"/>
          </w:tcPr>
          <w:p w14:paraId="1EB85567" w14:textId="77777777" w:rsidR="004E3AFC" w:rsidRDefault="004E3AFC" w:rsidP="004E3AFC">
            <w:pPr>
              <w:pStyle w:val="Agreement"/>
              <w:rPr>
                <w:lang w:val="en-US"/>
              </w:rPr>
            </w:pPr>
            <w:r>
              <w:rPr>
                <w:lang w:val="en-US"/>
              </w:rPr>
              <w:t>For the new BSR</w:t>
            </w:r>
          </w:p>
          <w:p w14:paraId="6391A7F3" w14:textId="1AC1C624" w:rsidR="004E3AFC" w:rsidRDefault="004E3AFC" w:rsidP="004E3AFC">
            <w:pPr>
              <w:pStyle w:val="Doc-text2"/>
              <w:ind w:left="1619" w:firstLine="0"/>
              <w:rPr>
                <w:rFonts w:ascii="Times New Roman" w:eastAsia="맑은 고딕" w:hAnsi="Times New Roman"/>
                <w:sz w:val="22"/>
                <w:szCs w:val="22"/>
                <w:lang w:eastAsia="ko-KR"/>
              </w:rPr>
            </w:pPr>
            <w:r w:rsidRPr="00FF0F7E">
              <w:rPr>
                <w:b/>
                <w:lang w:val="en-US"/>
              </w:rPr>
              <w:t xml:space="preserve">- differentiate in BSR available data (as today) and expected data. </w:t>
            </w:r>
            <w:r w:rsidRPr="00FF0F7E">
              <w:rPr>
                <w:b/>
                <w:lang w:val="en-US"/>
              </w:rPr>
              <w:br/>
              <w:t>- Associating a LCH with pre-emptive BSR is left to implementation, unless issues are identified requiring normative solutions.</w:t>
            </w:r>
            <w:r w:rsidRPr="00FF0F7E">
              <w:rPr>
                <w:b/>
                <w:lang w:val="en-US"/>
              </w:rPr>
              <w:br/>
            </w:r>
            <w:r w:rsidRPr="004E3AFC">
              <w:rPr>
                <w:b/>
                <w:highlight w:val="yellow"/>
                <w:lang w:val="en-US"/>
              </w:rPr>
              <w:t>- FFS if SR and BSR generated by a MAC entity need or can only be reported to the parent node where the peer of that MAC entity resides.</w:t>
            </w:r>
            <w:r w:rsidRPr="00FF0F7E">
              <w:rPr>
                <w:b/>
                <w:lang w:val="en-US"/>
              </w:rPr>
              <w:br/>
              <w:t>- On Triggering of pre-emptive BSR, can capture some text similar to the current agreements, in stage-3/2.</w:t>
            </w:r>
            <w:r w:rsidRPr="00FF0F7E">
              <w:rPr>
                <w:b/>
                <w:lang w:val="en-US"/>
              </w:rPr>
              <w:br/>
              <w:t xml:space="preserve">- Exact timing </w:t>
            </w:r>
            <w:proofErr w:type="spellStart"/>
            <w:r w:rsidRPr="00FF0F7E">
              <w:rPr>
                <w:b/>
                <w:lang w:val="en-US"/>
              </w:rPr>
              <w:t>etc</w:t>
            </w:r>
            <w:proofErr w:type="spellEnd"/>
            <w:r w:rsidRPr="00FF0F7E">
              <w:rPr>
                <w:b/>
                <w:lang w:val="en-US"/>
              </w:rPr>
              <w:t xml:space="preserve"> is up to implementation. </w:t>
            </w:r>
          </w:p>
        </w:tc>
      </w:tr>
    </w:tbl>
    <w:p w14:paraId="523D0AF4" w14:textId="77777777" w:rsidR="009F6C2E" w:rsidRPr="004E3AFC" w:rsidRDefault="009F6C2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0ADA189F" w14:textId="77777777" w:rsidR="008C10C3" w:rsidRDefault="008C10C3" w:rsidP="008C10C3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14:paraId="6F3D7D39" w14:textId="2FC2EED5" w:rsidR="004E3AFC" w:rsidRDefault="004E3AFC" w:rsidP="004E3AFC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object w:dxaOrig="3616" w:dyaOrig="1485" w14:anchorId="136BF5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1.1pt;height:74.65pt" o:ole="">
            <v:imagedata r:id="rId7" o:title=""/>
          </v:shape>
          <o:OLEObject Type="Embed" ProgID="Visio.Drawing.15" ShapeID="_x0000_i1025" DrawAspect="Content" ObjectID="_1643195241" r:id="rId8"/>
        </w:object>
      </w:r>
    </w:p>
    <w:p w14:paraId="6CE6A960" w14:textId="77777777" w:rsidR="004E3AFC" w:rsidRDefault="004E3AFC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64511DEB" w14:textId="131B60D0" w:rsidR="004E3AFC" w:rsidRDefault="002E67D2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issue is about where to report pre-BSR if the IAB node is connected with multiple parent IAB nodes. </w:t>
      </w:r>
      <w:r w:rsidR="004E3AF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As shown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 w:rsidR="004E3AF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above figure,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when</w:t>
      </w:r>
      <w:r w:rsidR="004E3AF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IAB node 2 receives a pre-BSR from the IAB node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the question is whether the IAB node 2 should send the pre-BSR to either IAB node 3 or 4, or both IAB node 3 and 4. There could be three options:</w:t>
      </w:r>
    </w:p>
    <w:p w14:paraId="1D3215C0" w14:textId="77777777" w:rsidR="002E67D2" w:rsidRDefault="002E67D2" w:rsidP="002E67D2">
      <w:pPr>
        <w:pStyle w:val="a5"/>
        <w:numPr>
          <w:ilvl w:val="0"/>
          <w:numId w:val="1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ption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1. One IAB node, e.g., MCG;</w:t>
      </w:r>
    </w:p>
    <w:p w14:paraId="3340459D" w14:textId="77777777" w:rsidR="002E67D2" w:rsidRDefault="002E67D2" w:rsidP="002E67D2">
      <w:pPr>
        <w:pStyle w:val="a5"/>
        <w:numPr>
          <w:ilvl w:val="0"/>
          <w:numId w:val="1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2. Both IAB nodes;</w:t>
      </w:r>
    </w:p>
    <w:p w14:paraId="5716767E" w14:textId="36F6D5EF" w:rsidR="002E67D2" w:rsidRPr="002E67D2" w:rsidRDefault="002E67D2" w:rsidP="002E67D2">
      <w:pPr>
        <w:pStyle w:val="a5"/>
        <w:numPr>
          <w:ilvl w:val="0"/>
          <w:numId w:val="13"/>
        </w:numPr>
        <w:ind w:leftChars="0"/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Option 3. Up to implementation.</w:t>
      </w:r>
    </w:p>
    <w:p w14:paraId="2284A028" w14:textId="77777777" w:rsidR="002E67D2" w:rsidRDefault="002E67D2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0A730F72" w14:textId="5634C2F8" w:rsidR="00F51380" w:rsidRPr="00F51380" w:rsidRDefault="002E67D2" w:rsidP="00D94610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1, </w:t>
      </w:r>
      <w:r w:rsidR="0015029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it may be impossible to determine only one IAB node to report a pre-BSR because data from each LCG in the pre-BSR can be transmitted to either IAB node 3 or 4. </w:t>
      </w:r>
      <w:r w:rsidR="00F5138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Option 1 may also degrades benefits by the pre-BSR. </w:t>
      </w:r>
      <w:r w:rsidR="009C66C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On the other hand, option 2 </w:t>
      </w:r>
      <w:r w:rsidR="00F5138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requests much more UL grants </w:t>
      </w:r>
      <w:r w:rsidR="00F5138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than </w:t>
      </w:r>
      <w:r w:rsidR="00F51380">
        <w:rPr>
          <w:rFonts w:ascii="Times New Roman" w:eastAsia="맑은 고딕" w:hAnsi="Times New Roman"/>
          <w:sz w:val="22"/>
          <w:szCs w:val="22"/>
          <w:lang w:val="en-US" w:eastAsia="ko-KR"/>
        </w:rPr>
        <w:t>the IAB node</w:t>
      </w:r>
      <w:r w:rsidR="002D79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actually needs, i.e., two times, and there could be UL resource waste. However, considering a BSR for split bearer, this excessive UL resource request by option 2 is not a problem and it is clear approach for this. Lastly, some companies may </w:t>
      </w:r>
      <w:r w:rsidR="00DD6DA9">
        <w:rPr>
          <w:rFonts w:ascii="Times New Roman" w:eastAsia="맑은 고딕" w:hAnsi="Times New Roman"/>
          <w:sz w:val="22"/>
          <w:szCs w:val="22"/>
          <w:lang w:val="en-US" w:eastAsia="ko-KR"/>
        </w:rPr>
        <w:t>p</w:t>
      </w:r>
      <w:r w:rsidR="002D794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ropose to resolve this issue by network implementation. </w:t>
      </w:r>
      <w:r w:rsidR="00DD6DA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We think that even though it is up to implementation where to report a pre-BSR, anyway a pre-BSR would be reported to both IAB node 3 and 4 because data from each LCG in the pre-BSR can be transmitted to either IAB node 3 or 4. </w:t>
      </w:r>
    </w:p>
    <w:p w14:paraId="28AF515D" w14:textId="34A50FE5" w:rsidR="00F83EF4" w:rsidRPr="0045512E" w:rsidRDefault="00F83EF4" w:rsidP="00F83EF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>Proposal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 w:rsidR="00DD6DA9">
        <w:rPr>
          <w:rFonts w:ascii="Times New Roman" w:eastAsia="맑은 고딕" w:hAnsi="Times New Roman"/>
          <w:b/>
          <w:sz w:val="22"/>
          <w:szCs w:val="22"/>
          <w:lang w:eastAsia="ko-KR"/>
        </w:rPr>
        <w:t>When the IAB node is connected to multiple parent IAB nodes, 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he </w:t>
      </w:r>
      <w:r w:rsidR="00DD6DA9">
        <w:rPr>
          <w:rFonts w:ascii="Times New Roman" w:eastAsia="맑은 고딕" w:hAnsi="Times New Roman"/>
          <w:b/>
          <w:sz w:val="22"/>
          <w:szCs w:val="22"/>
          <w:lang w:eastAsia="ko-KR"/>
        </w:rPr>
        <w:t>pre-BSR is reported to multiple parent IAB nodes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14:paraId="3E076AAE" w14:textId="77777777" w:rsidR="00A73BE6" w:rsidRDefault="00A73BE6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3D946409" w14:textId="77777777" w:rsidR="008C10C3" w:rsidRDefault="00E10554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Conclusion</w:t>
      </w:r>
    </w:p>
    <w:p w14:paraId="00CE8A69" w14:textId="06F9A2C8" w:rsidR="008C10C3" w:rsidRDefault="008C10C3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DD6DA9">
        <w:rPr>
          <w:rFonts w:ascii="Times New Roman" w:eastAsia="맑은 고딕" w:hAnsi="Times New Roman"/>
          <w:sz w:val="22"/>
          <w:szCs w:val="22"/>
          <w:lang w:eastAsia="ko-KR"/>
        </w:rPr>
        <w:t>ambiguity of pre-BSR with multiple parents</w:t>
      </w:r>
      <w:r w:rsidR="00F83EF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and </w:t>
      </w:r>
      <w:r w:rsidR="00686439">
        <w:rPr>
          <w:rFonts w:ascii="Times New Roman" w:eastAsia="맑은 고딕" w:hAnsi="Times New Roman"/>
          <w:sz w:val="22"/>
          <w:szCs w:val="22"/>
          <w:lang w:eastAsia="ko-KR"/>
        </w:rPr>
        <w:t>present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DD6DA9">
        <w:rPr>
          <w:rFonts w:ascii="Times New Roman" w:eastAsia="맑은 고딕" w:hAnsi="Times New Roman"/>
          <w:sz w:val="22"/>
          <w:szCs w:val="22"/>
          <w:lang w:eastAsia="ko-KR"/>
        </w:rPr>
        <w:t xml:space="preserve">a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proposal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743EF8BD" w14:textId="77777777" w:rsidR="00DD6DA9" w:rsidRPr="0045512E" w:rsidRDefault="00DD6DA9" w:rsidP="00DD6DA9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Proposal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When the IAB node is connected to multiple parent IAB nodes, the pre-BSR is reported to multiple parent IAB nodes.</w:t>
      </w:r>
    </w:p>
    <w:sectPr w:rsidR="00DD6DA9" w:rsidRPr="0045512E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1033FE" w14:textId="77777777" w:rsidR="00433802" w:rsidRDefault="00433802">
      <w:pPr>
        <w:spacing w:after="0"/>
      </w:pPr>
      <w:r>
        <w:separator/>
      </w:r>
    </w:p>
  </w:endnote>
  <w:endnote w:type="continuationSeparator" w:id="0">
    <w:p w14:paraId="444BAD96" w14:textId="77777777" w:rsidR="00433802" w:rsidRDefault="004338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2612F" w14:textId="77777777"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EA49A1" w14:textId="77777777" w:rsidR="00433802" w:rsidRDefault="00433802">
      <w:pPr>
        <w:spacing w:after="0"/>
      </w:pPr>
      <w:r>
        <w:separator/>
      </w:r>
    </w:p>
  </w:footnote>
  <w:footnote w:type="continuationSeparator" w:id="0">
    <w:p w14:paraId="6C05D703" w14:textId="77777777" w:rsidR="00433802" w:rsidRDefault="0043380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0DB53" w14:textId="77777777"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  <w:p w14:paraId="2828435F" w14:textId="77777777" w:rsidR="00BF4EC4" w:rsidRDefault="00BF4EC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42130"/>
    <w:multiLevelType w:val="hybridMultilevel"/>
    <w:tmpl w:val="E8186E14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5642B4"/>
    <w:multiLevelType w:val="hybridMultilevel"/>
    <w:tmpl w:val="C4DEFE28"/>
    <w:lvl w:ilvl="0" w:tplc="A8122F9A"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49C49C4"/>
    <w:multiLevelType w:val="hybridMultilevel"/>
    <w:tmpl w:val="4E84B232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4"/>
  </w:num>
  <w:num w:numId="10">
    <w:abstractNumId w:val="11"/>
  </w:num>
  <w:num w:numId="11">
    <w:abstractNumId w:val="6"/>
  </w:num>
  <w:num w:numId="12">
    <w:abstractNumId w:val="3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13375"/>
    <w:rsid w:val="00022BF0"/>
    <w:rsid w:val="0003098D"/>
    <w:rsid w:val="0004425B"/>
    <w:rsid w:val="00047728"/>
    <w:rsid w:val="00050C62"/>
    <w:rsid w:val="00053971"/>
    <w:rsid w:val="0006402A"/>
    <w:rsid w:val="000707F9"/>
    <w:rsid w:val="00077B92"/>
    <w:rsid w:val="00092C1A"/>
    <w:rsid w:val="00094E5F"/>
    <w:rsid w:val="000A29D2"/>
    <w:rsid w:val="000B3327"/>
    <w:rsid w:val="000B3A41"/>
    <w:rsid w:val="000B6AA5"/>
    <w:rsid w:val="000C32F3"/>
    <w:rsid w:val="000D3A9A"/>
    <w:rsid w:val="000D65E7"/>
    <w:rsid w:val="000D7090"/>
    <w:rsid w:val="00106C02"/>
    <w:rsid w:val="00136B8E"/>
    <w:rsid w:val="00144449"/>
    <w:rsid w:val="00150295"/>
    <w:rsid w:val="00175DB4"/>
    <w:rsid w:val="001A2D35"/>
    <w:rsid w:val="001C5001"/>
    <w:rsid w:val="001C675F"/>
    <w:rsid w:val="001D0DAD"/>
    <w:rsid w:val="001E6FE6"/>
    <w:rsid w:val="0020010E"/>
    <w:rsid w:val="0020134C"/>
    <w:rsid w:val="002142EA"/>
    <w:rsid w:val="00224FB0"/>
    <w:rsid w:val="002254F8"/>
    <w:rsid w:val="002402FB"/>
    <w:rsid w:val="00253AD9"/>
    <w:rsid w:val="0025422F"/>
    <w:rsid w:val="002571F7"/>
    <w:rsid w:val="00257EFF"/>
    <w:rsid w:val="002719B0"/>
    <w:rsid w:val="00272580"/>
    <w:rsid w:val="00287525"/>
    <w:rsid w:val="0029621D"/>
    <w:rsid w:val="002C6005"/>
    <w:rsid w:val="002C7EAA"/>
    <w:rsid w:val="002D7940"/>
    <w:rsid w:val="002E1D70"/>
    <w:rsid w:val="002E64D9"/>
    <w:rsid w:val="002E67D2"/>
    <w:rsid w:val="002E7B86"/>
    <w:rsid w:val="003078E9"/>
    <w:rsid w:val="00310474"/>
    <w:rsid w:val="00342843"/>
    <w:rsid w:val="0034772A"/>
    <w:rsid w:val="003516A5"/>
    <w:rsid w:val="00363113"/>
    <w:rsid w:val="003651C5"/>
    <w:rsid w:val="003677BC"/>
    <w:rsid w:val="00377FC0"/>
    <w:rsid w:val="00385032"/>
    <w:rsid w:val="00386F04"/>
    <w:rsid w:val="00387359"/>
    <w:rsid w:val="00387AA9"/>
    <w:rsid w:val="00393333"/>
    <w:rsid w:val="0039676C"/>
    <w:rsid w:val="003B6E77"/>
    <w:rsid w:val="003D5D2C"/>
    <w:rsid w:val="003D7F63"/>
    <w:rsid w:val="003E0DDA"/>
    <w:rsid w:val="003E4738"/>
    <w:rsid w:val="003E69D3"/>
    <w:rsid w:val="003F1E35"/>
    <w:rsid w:val="003F3C0E"/>
    <w:rsid w:val="004025F2"/>
    <w:rsid w:val="00430269"/>
    <w:rsid w:val="00433802"/>
    <w:rsid w:val="00454557"/>
    <w:rsid w:val="004546E6"/>
    <w:rsid w:val="0045512E"/>
    <w:rsid w:val="00461E79"/>
    <w:rsid w:val="004661A7"/>
    <w:rsid w:val="00482A8F"/>
    <w:rsid w:val="004A1D32"/>
    <w:rsid w:val="004B312C"/>
    <w:rsid w:val="004B63C3"/>
    <w:rsid w:val="004C78E1"/>
    <w:rsid w:val="004E3AFC"/>
    <w:rsid w:val="004F2A5D"/>
    <w:rsid w:val="00511BAD"/>
    <w:rsid w:val="00513A48"/>
    <w:rsid w:val="0056496F"/>
    <w:rsid w:val="00570457"/>
    <w:rsid w:val="005739E7"/>
    <w:rsid w:val="00577D4C"/>
    <w:rsid w:val="00580E0A"/>
    <w:rsid w:val="00586559"/>
    <w:rsid w:val="005D6D71"/>
    <w:rsid w:val="00604E21"/>
    <w:rsid w:val="00615410"/>
    <w:rsid w:val="00616447"/>
    <w:rsid w:val="00631652"/>
    <w:rsid w:val="0065328F"/>
    <w:rsid w:val="00660CA5"/>
    <w:rsid w:val="00664B9C"/>
    <w:rsid w:val="00665ACE"/>
    <w:rsid w:val="00666594"/>
    <w:rsid w:val="0067148D"/>
    <w:rsid w:val="0067345B"/>
    <w:rsid w:val="00686439"/>
    <w:rsid w:val="006B4A61"/>
    <w:rsid w:val="006C29AE"/>
    <w:rsid w:val="006C51C0"/>
    <w:rsid w:val="006C6157"/>
    <w:rsid w:val="006C7487"/>
    <w:rsid w:val="006D5589"/>
    <w:rsid w:val="006F0D14"/>
    <w:rsid w:val="006F507B"/>
    <w:rsid w:val="006F5AB1"/>
    <w:rsid w:val="00720A48"/>
    <w:rsid w:val="00726070"/>
    <w:rsid w:val="0073717E"/>
    <w:rsid w:val="00741F17"/>
    <w:rsid w:val="00744066"/>
    <w:rsid w:val="007451D5"/>
    <w:rsid w:val="00760244"/>
    <w:rsid w:val="00772851"/>
    <w:rsid w:val="00782400"/>
    <w:rsid w:val="0078528A"/>
    <w:rsid w:val="007A629B"/>
    <w:rsid w:val="007B29D5"/>
    <w:rsid w:val="007C4AE7"/>
    <w:rsid w:val="007C52E9"/>
    <w:rsid w:val="007C77D5"/>
    <w:rsid w:val="007D3BC9"/>
    <w:rsid w:val="007E1856"/>
    <w:rsid w:val="007E22EE"/>
    <w:rsid w:val="007F248F"/>
    <w:rsid w:val="0081284E"/>
    <w:rsid w:val="00814BE4"/>
    <w:rsid w:val="0081714F"/>
    <w:rsid w:val="0082244D"/>
    <w:rsid w:val="0083272B"/>
    <w:rsid w:val="00873A44"/>
    <w:rsid w:val="008878B5"/>
    <w:rsid w:val="008B072B"/>
    <w:rsid w:val="008B3E15"/>
    <w:rsid w:val="008C10C3"/>
    <w:rsid w:val="008D319D"/>
    <w:rsid w:val="008F2607"/>
    <w:rsid w:val="008F38CD"/>
    <w:rsid w:val="00933BFA"/>
    <w:rsid w:val="00934B9F"/>
    <w:rsid w:val="00936DD3"/>
    <w:rsid w:val="00943F33"/>
    <w:rsid w:val="009562A9"/>
    <w:rsid w:val="00960C26"/>
    <w:rsid w:val="00960E30"/>
    <w:rsid w:val="009777E8"/>
    <w:rsid w:val="00981EAB"/>
    <w:rsid w:val="00986F59"/>
    <w:rsid w:val="009904CD"/>
    <w:rsid w:val="009A2137"/>
    <w:rsid w:val="009A6FD2"/>
    <w:rsid w:val="009B1312"/>
    <w:rsid w:val="009C31AB"/>
    <w:rsid w:val="009C66C3"/>
    <w:rsid w:val="009C755F"/>
    <w:rsid w:val="009D600D"/>
    <w:rsid w:val="009D614D"/>
    <w:rsid w:val="009E158C"/>
    <w:rsid w:val="009F6C2E"/>
    <w:rsid w:val="00A07CEB"/>
    <w:rsid w:val="00A13409"/>
    <w:rsid w:val="00A509E1"/>
    <w:rsid w:val="00A50CF1"/>
    <w:rsid w:val="00A7137F"/>
    <w:rsid w:val="00A73BE6"/>
    <w:rsid w:val="00A8201B"/>
    <w:rsid w:val="00AA12BD"/>
    <w:rsid w:val="00AB19EA"/>
    <w:rsid w:val="00AC129C"/>
    <w:rsid w:val="00AD49C3"/>
    <w:rsid w:val="00AE05AC"/>
    <w:rsid w:val="00AE2850"/>
    <w:rsid w:val="00AF3694"/>
    <w:rsid w:val="00B235E9"/>
    <w:rsid w:val="00B35F3A"/>
    <w:rsid w:val="00B46B2B"/>
    <w:rsid w:val="00B47462"/>
    <w:rsid w:val="00B50D99"/>
    <w:rsid w:val="00B5529F"/>
    <w:rsid w:val="00B57416"/>
    <w:rsid w:val="00B7585F"/>
    <w:rsid w:val="00B93D36"/>
    <w:rsid w:val="00BB6570"/>
    <w:rsid w:val="00BB7461"/>
    <w:rsid w:val="00BE50B7"/>
    <w:rsid w:val="00BF03E5"/>
    <w:rsid w:val="00BF137E"/>
    <w:rsid w:val="00BF4EC4"/>
    <w:rsid w:val="00BF7A34"/>
    <w:rsid w:val="00C32815"/>
    <w:rsid w:val="00C34670"/>
    <w:rsid w:val="00C3524E"/>
    <w:rsid w:val="00C47B3D"/>
    <w:rsid w:val="00C5286A"/>
    <w:rsid w:val="00C53025"/>
    <w:rsid w:val="00C63ADE"/>
    <w:rsid w:val="00C74DF1"/>
    <w:rsid w:val="00C84142"/>
    <w:rsid w:val="00C860C9"/>
    <w:rsid w:val="00CA2044"/>
    <w:rsid w:val="00CA6C89"/>
    <w:rsid w:val="00CB6332"/>
    <w:rsid w:val="00CC5595"/>
    <w:rsid w:val="00CC773E"/>
    <w:rsid w:val="00CE5779"/>
    <w:rsid w:val="00D12660"/>
    <w:rsid w:val="00D17B56"/>
    <w:rsid w:val="00D232A1"/>
    <w:rsid w:val="00D516E3"/>
    <w:rsid w:val="00D72E5C"/>
    <w:rsid w:val="00D81AFE"/>
    <w:rsid w:val="00D94610"/>
    <w:rsid w:val="00DA5B4D"/>
    <w:rsid w:val="00DA5DB5"/>
    <w:rsid w:val="00DB166D"/>
    <w:rsid w:val="00DC3A93"/>
    <w:rsid w:val="00DD1143"/>
    <w:rsid w:val="00DD6DA9"/>
    <w:rsid w:val="00DF59C6"/>
    <w:rsid w:val="00E02C31"/>
    <w:rsid w:val="00E104BB"/>
    <w:rsid w:val="00E10554"/>
    <w:rsid w:val="00E273C2"/>
    <w:rsid w:val="00E3361F"/>
    <w:rsid w:val="00E43829"/>
    <w:rsid w:val="00E5004C"/>
    <w:rsid w:val="00E835E8"/>
    <w:rsid w:val="00EA0984"/>
    <w:rsid w:val="00EA756C"/>
    <w:rsid w:val="00EB13EC"/>
    <w:rsid w:val="00EB6F41"/>
    <w:rsid w:val="00ED55B2"/>
    <w:rsid w:val="00ED671A"/>
    <w:rsid w:val="00EF4B89"/>
    <w:rsid w:val="00F06246"/>
    <w:rsid w:val="00F108D8"/>
    <w:rsid w:val="00F112E5"/>
    <w:rsid w:val="00F43D62"/>
    <w:rsid w:val="00F50B30"/>
    <w:rsid w:val="00F51380"/>
    <w:rsid w:val="00F60374"/>
    <w:rsid w:val="00F63538"/>
    <w:rsid w:val="00F71FB1"/>
    <w:rsid w:val="00F83EF4"/>
    <w:rsid w:val="00F92BB7"/>
    <w:rsid w:val="00F97A5D"/>
    <w:rsid w:val="00FB1821"/>
    <w:rsid w:val="00FB50CB"/>
    <w:rsid w:val="00FB7823"/>
    <w:rsid w:val="00FC0794"/>
    <w:rsid w:val="00FE7FA7"/>
    <w:rsid w:val="00FF58FD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16BD64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9F6C2E"/>
    <w:pPr>
      <w:numPr>
        <w:numId w:val="10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852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78528A"/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7C52E9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7C52E9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7C52E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7C52E9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7C52E9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7C52E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7C52E9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5633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97</cp:revision>
  <dcterms:created xsi:type="dcterms:W3CDTF">2019-01-28T23:45:00Z</dcterms:created>
  <dcterms:modified xsi:type="dcterms:W3CDTF">2020-02-14T05:08:00Z</dcterms:modified>
</cp:coreProperties>
</file>